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t>MÜÜGILEPING nr.  6-27/2024/36</w:t>
      </w:r>
    </w:p>
    <w:p>
      <w:pPr>
        <w:pStyle w:val="Normal"/>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bCs/>
          <w:sz w:val="24"/>
          <w:szCs w:val="24"/>
        </w:rPr>
        <w:t>Riigimetsa Majandamise Keskus</w:t>
      </w:r>
      <w:r>
        <w:rPr>
          <w:rFonts w:cs="Times New Roman" w:ascii="Times New Roman" w:hAnsi="Times New Roman"/>
          <w:sz w:val="24"/>
          <w:szCs w:val="24"/>
        </w:rPr>
        <w:t xml:space="preserve"> (edaspidi ostja),  registrikood 70004459 asukoht Sagadi küla Haljala vald Lääne -Virumaa, mida esindab Jaanus Käärma, kes tegutseb volikirja alusel, ühelt poolt,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ja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Osaühing JMK Marine (edaspidi müüja),  registrikood  10478211, asukoht Reinu tee 7a Viimsi vald 74011, mida esindab seaduse ja põhikirja alusel Kalle Kütt,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(ostja ja müüja tekstis koos edaspidi pooled), sõlmisid käesoleva müügilepingu (edaspidi leping) alljärgnevas: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Lepingu dokumendid</w:t>
      </w:r>
    </w:p>
    <w:p>
      <w:pPr>
        <w:pStyle w:val="ListParagraph"/>
        <w:spacing w:before="0" w:after="0"/>
        <w:ind w:lef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Lepingu dokumendid  koosnevad  käesolevast  lepingust  ja lepingu p. 10.1. Loetletud lisadest, mis on käesoleva lepingu lahutamatuteks osadeks. </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Pooled  tagavad  ja deklareerivad, et  lepingu  sõlmimisega  ei ole nad rikkunud ühtegi enda suhtes kehtiva seaduse, põhikirja või muu õigusakti sätet ega ühegi endale varasemate kokkulepetega võetud kohustust.</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Leping  on  sõlmitud  väikehanke „Mootorpaat koos lisavarustuse ja haagisega“ (viitenumber 279226, DHS nr. 1-47.3019) tulemusena.</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Lepingu ese</w:t>
      </w:r>
    </w:p>
    <w:p>
      <w:pPr>
        <w:pStyle w:val="ListParagraph"/>
        <w:spacing w:before="0" w:after="0"/>
        <w:ind w:lef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Lepinguga ostja ostab  ja müüja kohustub müüma mootorpaadi koos lisavarustuse ja haagisega (edaspidi lepigngu ese) vastavalt hankedokumentides ja lepingus kokkulepitud tingimustel.</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annab ostjale  üle mootorpaadi koos lisavarustuse ja haagisega hanke alusdokumentides ja edukaks tunnistatud pakkumuses kirjeldatud komplektsuses ning  teeb  võimalikuks  omandi  ülemineku  ostjale, ostja  aga tasub müüjale ostuhinna rahas ja võtab omandi vastu.</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teostab  enne lepingu eseme ostjale  üleandmist  kõik  toimingud, mis on seotud lepingu eseme ostja omandisse registreerimisega Transpordiametis  (s.h. riigilõivude tasumine).</w:t>
      </w:r>
    </w:p>
    <w:p>
      <w:pPr>
        <w:pStyle w:val="ListParagraph"/>
        <w:numPr>
          <w:ilvl w:val="1"/>
          <w:numId w:val="1"/>
        </w:numPr>
        <w:spacing w:before="0" w:after="0"/>
        <w:contextualSpacing/>
        <w:rPr>
          <w:rFonts w:ascii="Times New Roman" w:hAnsi="Times New Roman" w:cs="Times New Roman"/>
          <w:sz w:val="24"/>
          <w:szCs w:val="24"/>
        </w:rPr>
      </w:pPr>
      <w:r>
        <w:rPr>
          <w:rFonts w:cs="Times New Roman" w:ascii="Times New Roman" w:hAnsi="Times New Roman"/>
          <w:sz w:val="24"/>
          <w:szCs w:val="24"/>
        </w:rPr>
        <w:t>Müüja või  tema  selleks volitatud esindaja/alltöövõtja  teostab  kõik lepingu eseme korralised hooldused.</w:t>
      </w:r>
      <w:r>
        <w:rPr>
          <w:rFonts w:cs="Times New Roman" w:ascii="Times New Roman" w:hAnsi="Times New Roman"/>
          <w:color w:val="FF0000"/>
          <w:sz w:val="24"/>
          <w:szCs w:val="24"/>
        </w:rPr>
        <w:t xml:space="preserve"> </w:t>
      </w:r>
      <w:r>
        <w:rPr>
          <w:rFonts w:cs="Times New Roman" w:ascii="Times New Roman" w:hAnsi="Times New Roman"/>
          <w:sz w:val="24"/>
          <w:szCs w:val="24"/>
        </w:rPr>
        <w:t xml:space="preserve">Hooldus peab  toimuma peale igat 100 töötundi või vähemalt üks kord aastas olenevalt kumb saabub enne. </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Hooldusgraafik vastavalt pakkumusele:</w:t>
      </w:r>
    </w:p>
    <w:tbl>
      <w:tblPr>
        <w:tblW w:w="92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5" w:type="dxa"/>
          <w:bottom w:w="0" w:type="dxa"/>
          <w:right w:w="70" w:type="dxa"/>
        </w:tblCellMar>
        <w:tblLook w:firstRow="1" w:noVBand="1" w:lastRow="0" w:firstColumn="1" w:lastColumn="0" w:noHBand="0" w:val="04a0"/>
      </w:tblPr>
      <w:tblGrid>
        <w:gridCol w:w="2263"/>
        <w:gridCol w:w="1133"/>
        <w:gridCol w:w="1276"/>
        <w:gridCol w:w="1134"/>
        <w:gridCol w:w="851"/>
        <w:gridCol w:w="850"/>
        <w:gridCol w:w="850"/>
        <w:gridCol w:w="910"/>
      </w:tblGrid>
      <w:tr>
        <w:trPr>
          <w:trHeight w:val="264" w:hRule="atLeast"/>
        </w:trPr>
        <w:tc>
          <w:tcPr>
            <w:tcW w:w="2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cs="Times New Roman"/>
                <w:sz w:val="24"/>
                <w:szCs w:val="24"/>
                <w:lang w:eastAsia="et-EE"/>
              </w:rPr>
            </w:pPr>
            <w:r>
              <w:rPr>
                <w:rFonts w:cs="Times New Roman" w:ascii="Times New Roman" w:hAnsi="Times New Roman"/>
                <w:sz w:val="24"/>
                <w:szCs w:val="24"/>
                <w:lang w:eastAsia="et-EE"/>
              </w:rPr>
              <w:t> </w:t>
            </w:r>
          </w:p>
        </w:tc>
        <w:tc>
          <w:tcPr>
            <w:tcW w:w="7004" w:type="dxa"/>
            <w:gridSpan w:val="7"/>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cs="Times New Roman"/>
                <w:sz w:val="24"/>
                <w:szCs w:val="24"/>
                <w:lang w:eastAsia="et-EE"/>
              </w:rPr>
            </w:pPr>
            <w:r>
              <w:rPr>
                <w:rFonts w:cs="Times New Roman" w:ascii="Times New Roman" w:hAnsi="Times New Roman"/>
                <w:sz w:val="24"/>
                <w:szCs w:val="24"/>
                <w:lang w:eastAsia="et-EE"/>
              </w:rPr>
              <w:t>Töötunnid</w:t>
            </w:r>
          </w:p>
        </w:tc>
      </w:tr>
      <w:tr>
        <w:trPr>
          <w:trHeight w:val="264" w:hRule="atLeast"/>
        </w:trPr>
        <w:tc>
          <w:tcPr>
            <w:tcW w:w="226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before="0" w:after="0"/>
              <w:ind w:right="-646" w:hanging="0"/>
              <w:rPr>
                <w:rFonts w:ascii="Times New Roman" w:hAnsi="Times New Roman" w:cs="Times New Roman"/>
                <w:sz w:val="24"/>
                <w:szCs w:val="24"/>
              </w:rPr>
            </w:pPr>
            <w:r>
              <w:rPr>
                <w:rFonts w:cs="Times New Roman" w:ascii="Times New Roman" w:hAnsi="Times New Roman"/>
                <w:b/>
                <w:sz w:val="24"/>
                <w:szCs w:val="24"/>
              </w:rPr>
              <w:t xml:space="preserve">Hooldevälp </w:t>
            </w:r>
            <w:r>
              <w:rPr>
                <w:rFonts w:cs="Times New Roman" w:ascii="Times New Roman" w:hAnsi="Times New Roman"/>
                <w:sz w:val="24"/>
                <w:szCs w:val="24"/>
              </w:rPr>
              <w:t>(töötunnid/aastad)</w:t>
            </w:r>
          </w:p>
          <w:p>
            <w:pPr>
              <w:pStyle w:val="Normal"/>
              <w:spacing w:lineRule="auto" w:line="240" w:before="0" w:after="0"/>
              <w:rPr>
                <w:rFonts w:ascii="Times New Roman" w:hAnsi="Times New Roman" w:cs="Times New Roman"/>
                <w:sz w:val="24"/>
                <w:szCs w:val="24"/>
                <w:lang w:eastAsia="et-EE"/>
              </w:rPr>
            </w:pPr>
            <w:r>
              <w:rPr>
                <w:rFonts w:cs="Times New Roman" w:ascii="Times New Roman" w:hAnsi="Times New Roman"/>
                <w:sz w:val="24"/>
                <w:szCs w:val="24"/>
                <w:lang w:eastAsia="et-EE"/>
              </w:rPr>
            </w:r>
          </w:p>
        </w:tc>
        <w:tc>
          <w:tcPr>
            <w:tcW w:w="113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pPr>
            <w:r>
              <w:rPr/>
              <w:t xml:space="preserve">100 töötundi/ </w:t>
            </w:r>
          </w:p>
          <w:p>
            <w:pPr>
              <w:pStyle w:val="Normal"/>
              <w:spacing w:lineRule="auto" w:line="240" w:before="0" w:after="0"/>
              <w:jc w:val="both"/>
              <w:rPr>
                <w:rFonts w:ascii="Times New Roman" w:hAnsi="Times New Roman" w:cs="Times New Roman"/>
                <w:sz w:val="24"/>
                <w:szCs w:val="24"/>
                <w:lang w:eastAsia="et-EE"/>
              </w:rPr>
            </w:pPr>
            <w:r>
              <w:rPr/>
              <w:t>1. aasta</w:t>
            </w:r>
          </w:p>
        </w:tc>
        <w:tc>
          <w:tcPr>
            <w:tcW w:w="127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pPr>
            <w:r>
              <w:rPr/>
              <w:t xml:space="preserve">200 töötundi/ </w:t>
            </w:r>
          </w:p>
          <w:p>
            <w:pPr>
              <w:pStyle w:val="Normal"/>
              <w:spacing w:lineRule="auto" w:line="240" w:before="0" w:after="0"/>
              <w:rPr>
                <w:rFonts w:ascii="Times New Roman" w:hAnsi="Times New Roman" w:cs="Times New Roman"/>
                <w:sz w:val="24"/>
                <w:szCs w:val="24"/>
                <w:lang w:eastAsia="et-EE"/>
              </w:rPr>
            </w:pPr>
            <w:r>
              <w:rPr/>
              <w:t>1. aasta</w:t>
            </w:r>
          </w:p>
        </w:tc>
        <w:tc>
          <w:tcPr>
            <w:tcW w:w="113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pPr>
            <w:r>
              <w:rPr/>
              <w:t xml:space="preserve">300 töötundi/ </w:t>
            </w:r>
          </w:p>
          <w:p>
            <w:pPr>
              <w:pStyle w:val="Normal"/>
              <w:spacing w:lineRule="auto" w:line="240" w:before="0" w:after="0"/>
              <w:jc w:val="both"/>
              <w:rPr>
                <w:rFonts w:ascii="Times New Roman" w:hAnsi="Times New Roman" w:cs="Times New Roman"/>
                <w:sz w:val="24"/>
                <w:szCs w:val="24"/>
                <w:lang w:eastAsia="et-EE"/>
              </w:rPr>
            </w:pPr>
            <w:r>
              <w:rPr/>
              <w:t>1. aasta</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205" w:right="-66" w:hanging="0"/>
              <w:jc w:val="center"/>
              <w:rPr>
                <w:rFonts w:ascii="Times New Roman" w:hAnsi="Times New Roman" w:cs="Times New Roman"/>
                <w:sz w:val="24"/>
                <w:szCs w:val="24"/>
                <w:lang w:eastAsia="et-EE"/>
              </w:rPr>
            </w:pPr>
            <w:r>
              <w:rPr>
                <w:rFonts w:cs="Times New Roman" w:ascii="Times New Roman" w:hAnsi="Times New Roman"/>
                <w:sz w:val="24"/>
                <w:szCs w:val="24"/>
                <w:lang w:eastAsia="et-EE"/>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both"/>
              <w:rPr>
                <w:rFonts w:ascii="Times New Roman" w:hAnsi="Times New Roman" w:cs="Times New Roman"/>
                <w:sz w:val="24"/>
                <w:szCs w:val="24"/>
                <w:lang w:eastAsia="et-EE"/>
              </w:rPr>
            </w:pPr>
            <w:r>
              <w:rPr>
                <w:rFonts w:cs="Times New Roman" w:ascii="Times New Roman" w:hAnsi="Times New Roman"/>
                <w:sz w:val="24"/>
                <w:szCs w:val="24"/>
                <w:lang w:eastAsia="et-EE"/>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s="Times New Roman"/>
                <w:sz w:val="24"/>
                <w:szCs w:val="24"/>
                <w:lang w:eastAsia="et-EE"/>
              </w:rPr>
            </w:pPr>
            <w:r>
              <w:rPr>
                <w:rFonts w:cs="Times New Roman" w:ascii="Times New Roman" w:hAnsi="Times New Roman"/>
                <w:sz w:val="24"/>
                <w:szCs w:val="24"/>
                <w:lang w:eastAsia="et-EE"/>
              </w:rPr>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sz w:val="24"/>
                <w:szCs w:val="24"/>
                <w:lang w:eastAsia="et-EE"/>
              </w:rPr>
            </w:pPr>
            <w:r>
              <w:rPr>
                <w:rFonts w:cs="Times New Roman" w:ascii="Times New Roman" w:hAnsi="Times New Roman"/>
                <w:sz w:val="24"/>
                <w:szCs w:val="24"/>
                <w:lang w:eastAsia="et-EE"/>
              </w:rPr>
            </w:r>
          </w:p>
        </w:tc>
      </w:tr>
      <w:tr>
        <w:trPr>
          <w:trHeight w:val="264" w:hRule="atLeast"/>
        </w:trPr>
        <w:tc>
          <w:tcPr>
            <w:tcW w:w="226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cs="Times New Roman"/>
                <w:sz w:val="24"/>
                <w:szCs w:val="24"/>
                <w:lang w:eastAsia="et-EE"/>
              </w:rPr>
            </w:pPr>
            <w:r>
              <w:rPr>
                <w:rFonts w:cs="Times New Roman" w:ascii="Times New Roman" w:hAnsi="Times New Roman"/>
                <w:sz w:val="24"/>
                <w:szCs w:val="24"/>
                <w:lang w:eastAsia="et-EE"/>
              </w:rPr>
              <w:t xml:space="preserve">Maksumus (eur) ilma </w:t>
            </w:r>
          </w:p>
          <w:p>
            <w:pPr>
              <w:pStyle w:val="Normal"/>
              <w:spacing w:lineRule="auto" w:line="240" w:before="0" w:after="0"/>
              <w:rPr>
                <w:rFonts w:ascii="Times New Roman" w:hAnsi="Times New Roman" w:cs="Times New Roman"/>
                <w:sz w:val="24"/>
                <w:szCs w:val="24"/>
                <w:lang w:eastAsia="et-EE"/>
              </w:rPr>
            </w:pPr>
            <w:r>
              <w:rPr>
                <w:rFonts w:cs="Times New Roman" w:ascii="Times New Roman" w:hAnsi="Times New Roman"/>
                <w:sz w:val="24"/>
                <w:szCs w:val="24"/>
                <w:lang w:eastAsia="et-EE"/>
              </w:rPr>
              <w:t>käibemaksuta</w:t>
            </w:r>
          </w:p>
        </w:tc>
        <w:tc>
          <w:tcPr>
            <w:tcW w:w="1133"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cs="Times New Roman"/>
                <w:sz w:val="24"/>
                <w:szCs w:val="24"/>
                <w:lang w:eastAsia="et-EE"/>
              </w:rPr>
            </w:pPr>
            <w:r>
              <w:rPr>
                <w:rFonts w:cs="Times New Roman" w:ascii="Times New Roman" w:hAnsi="Times New Roman"/>
                <w:sz w:val="24"/>
                <w:szCs w:val="24"/>
                <w:lang w:eastAsia="et-EE"/>
              </w:rPr>
              <w:t xml:space="preserve">   </w:t>
            </w:r>
            <w:r>
              <w:rPr>
                <w:rFonts w:cs="Times New Roman" w:ascii="Times New Roman" w:hAnsi="Times New Roman"/>
                <w:sz w:val="24"/>
                <w:szCs w:val="24"/>
                <w:lang w:eastAsia="et-EE"/>
              </w:rPr>
              <w:t>250</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cs="Times New Roman"/>
                <w:sz w:val="24"/>
                <w:szCs w:val="24"/>
                <w:lang w:eastAsia="et-EE"/>
              </w:rPr>
            </w:pPr>
            <w:r>
              <w:rPr>
                <w:rFonts w:cs="Times New Roman" w:ascii="Times New Roman" w:hAnsi="Times New Roman"/>
                <w:sz w:val="24"/>
                <w:szCs w:val="24"/>
                <w:lang w:eastAsia="et-EE"/>
              </w:rPr>
              <w:t>290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cs="Times New Roman"/>
                <w:sz w:val="24"/>
                <w:szCs w:val="24"/>
                <w:lang w:eastAsia="et-EE"/>
              </w:rPr>
            </w:pPr>
            <w:r>
              <w:rPr>
                <w:rFonts w:cs="Times New Roman" w:ascii="Times New Roman" w:hAnsi="Times New Roman"/>
                <w:sz w:val="24"/>
                <w:szCs w:val="24"/>
                <w:lang w:eastAsia="et-EE"/>
              </w:rPr>
              <w:t>330</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cs="Times New Roman"/>
                <w:sz w:val="24"/>
                <w:szCs w:val="24"/>
                <w:lang w:eastAsia="et-EE"/>
              </w:rPr>
            </w:pPr>
            <w:r>
              <w:rPr>
                <w:rFonts w:cs="Times New Roman" w:ascii="Times New Roman" w:hAnsi="Times New Roman"/>
                <w:sz w:val="24"/>
                <w:szCs w:val="24"/>
                <w:lang w:eastAsia="et-EE"/>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cs="Times New Roman"/>
                <w:sz w:val="24"/>
                <w:szCs w:val="24"/>
                <w:lang w:eastAsia="et-EE"/>
              </w:rPr>
            </w:pPr>
            <w:r>
              <w:rPr>
                <w:rFonts w:cs="Times New Roman" w:ascii="Times New Roman" w:hAnsi="Times New Roman"/>
                <w:sz w:val="24"/>
                <w:szCs w:val="24"/>
                <w:lang w:eastAsia="et-EE"/>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cs="Times New Roman"/>
                <w:sz w:val="24"/>
                <w:szCs w:val="24"/>
                <w:lang w:eastAsia="et-EE"/>
              </w:rPr>
            </w:pPr>
            <w:r>
              <w:rPr>
                <w:rFonts w:cs="Times New Roman" w:ascii="Times New Roman" w:hAnsi="Times New Roman"/>
                <w:sz w:val="24"/>
                <w:szCs w:val="24"/>
                <w:lang w:eastAsia="et-EE"/>
              </w:rPr>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cs="Times New Roman"/>
                <w:sz w:val="24"/>
                <w:szCs w:val="24"/>
                <w:lang w:eastAsia="et-EE"/>
              </w:rPr>
            </w:pPr>
            <w:r>
              <w:rPr>
                <w:rFonts w:cs="Times New Roman" w:ascii="Times New Roman" w:hAnsi="Times New Roman"/>
                <w:sz w:val="24"/>
                <w:szCs w:val="24"/>
                <w:lang w:eastAsia="et-EE"/>
              </w:rPr>
            </w:r>
          </w:p>
        </w:tc>
      </w:tr>
    </w:tbl>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Kokku  eur  870 käibemaksuta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 xml:space="preserve">Ostuhind </w:t>
      </w:r>
    </w:p>
    <w:p>
      <w:pPr>
        <w:pStyle w:val="ListParagraph"/>
        <w:spacing w:before="0" w:after="0"/>
        <w:ind w:lef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Müüja müüb ja ostja ostab lepingu eseme vastavalt lepingu lisale 1 ostuhinnaga   </w:t>
      </w:r>
      <w:r>
        <w:rPr>
          <w:rFonts w:cs="Times New Roman" w:ascii="Times New Roman" w:hAnsi="Times New Roman"/>
          <w:b/>
          <w:bCs/>
          <w:sz w:val="24"/>
          <w:szCs w:val="24"/>
        </w:rPr>
        <w:t xml:space="preserve">20440,00 </w:t>
      </w:r>
      <w:r>
        <w:rPr>
          <w:rFonts w:cs="Times New Roman" w:ascii="Times New Roman" w:hAnsi="Times New Roman"/>
          <w:sz w:val="24"/>
          <w:szCs w:val="24"/>
        </w:rPr>
        <w:t xml:space="preserve"> (kakskümmend tuhat nelisada nelikümmend) eurot ja 00 senti</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teostab oma kulul lepingu esemega registreerimisega  seotud  toimingud  vastavalt lepingu punktile 2.3.</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Ostja tasub lepingu eseme korralise hoolduse eest vastavalt punktis 2.5.  fikseeritud hindadele. Korralise hoolduse eest tasutakse pärast vastavate hoolduse toimingute igakordset teostamist.</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Lepingu punktides 3.1 ja 3.3. kokku lepitud hindadele lisandub käibemaks.</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Ostja tasub saadud kauba eest müüja poolt esitatud arve(te) alusel. Müüja esitab arve vaid elektrooniliselt. Arve esitamiseks tuleb kasutada elektrooniliste arvete esitamiseks mõeldud raamatupidamistarkvara või raamatupidamistarkvara E-arveldaja, mis asub ettevõtjaportaalis https://www.rik.ee/et/e-arveldaja.</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Maksetähtaeg on 14 päeva arve väljastamise kuupäevast arvates.</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Lepingu eseme üleandmine ja omandiõiguse üleminek</w:t>
      </w:r>
    </w:p>
    <w:p>
      <w:pPr>
        <w:pStyle w:val="ListParagraph"/>
        <w:spacing w:before="0" w:after="0"/>
        <w:ind w:lef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on kohustatud lepingu eseme ostjale üle andma hiljemalt  2 (kahe) kuu jooksul alates lepingu allkirjastamisest.</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Lepingu eseme üleandmine  müüjalt  ostjale vormistatakse üleandmise-vastuvõtmise aktiga. Üleandmise-vastuvõtmise akti koostab müüja ja esitab allkirjastatult ostjale lepingu eseme üleandmisel.</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Üleandmise-vastuvõtmise  aktile  alla  kirjutamise  hetkest  läheb  müüjalt  ostjale  üle lepingu eseme valdus  ja  juhusliku  hävimise  riisiko ning  ostja  poolt lepingu eseme ostuhinna  tasumisega  läheb  müüjalt  ostjale üle lepingu eseme omandiõigus</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Lepingu eseme üleandmine ja üleandmise-vastuvõtmise aktile allakirjutamine toimub müüja vastava piirkonna esinduses.  Üleandmiskoha määrab ostja.</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Müüja õigused ja kohustused</w:t>
      </w:r>
    </w:p>
    <w:p>
      <w:pPr>
        <w:pStyle w:val="ListParagraph"/>
        <w:spacing w:before="0" w:after="0"/>
        <w:ind w:lef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esitab peale üleandmise-vastuvõtmise akti allkirjastamist mõlema poole poolt ostjale arve üleantud lepingu eseme eest tasumiseks.</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on kohustatud registreerima lepingu eseme enne ostjale üleandmist Maanteeametis ostja omandisse.</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teatab kirjalikult ostja esindajale lepingu eseme üleandmise tähtpäeva vähemalt 3 (kolm) tööpäeva ette.</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kohustub tagama lepingu eseme vastavuse valmistaja tehnilistele tingimustele, käesoleva lepingu sh hanke alusdokumentide tingimustele, Eestis seda liiki vara suhtes kehtivatele standarditele ning tehnilistele nõuetele ja seda liiki varadele üldiselt esitatavatele nõuetele.</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on kohustatud lepingu eseme ostjale üle andma komplektsuses (s.h lisavarustus, haagis), mis vastab lepingu lisaks 1 olevas tehnilises kirjelduses toodule.</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Müüja annab paadi komplektile (paat, haagis, lisavarustus) garantii kestusega </w:t>
      </w:r>
      <w:r>
        <w:rPr>
          <w:rFonts w:cs="Times New Roman" w:ascii="Times New Roman" w:hAnsi="Times New Roman"/>
          <w:sz w:val="24"/>
          <w:szCs w:val="24"/>
          <w:highlight w:val="yellow"/>
        </w:rPr>
        <w:t>……………</w:t>
      </w:r>
      <w:r>
        <w:rPr>
          <w:rFonts w:cs="Times New Roman" w:ascii="Times New Roman" w:hAnsi="Times New Roman"/>
          <w:sz w:val="24"/>
          <w:szCs w:val="24"/>
          <w:highlight w:val="yellow"/>
        </w:rPr>
        <w:t>24 kuud</w:t>
      </w:r>
      <w:r>
        <w:rPr>
          <w:rFonts w:cs="Times New Roman" w:ascii="Times New Roman" w:hAnsi="Times New Roman"/>
          <w:sz w:val="24"/>
          <w:szCs w:val="24"/>
          <w:highlight w:val="yellow"/>
        </w:rPr>
        <w:t>………………</w:t>
      </w:r>
      <w:r>
        <w:rPr>
          <w:rFonts w:cs="Times New Roman" w:ascii="Times New Roman" w:hAnsi="Times New Roman"/>
          <w:sz w:val="24"/>
          <w:szCs w:val="24"/>
        </w:rPr>
        <w:t xml:space="preserve"> (vastavalt esitatud pakkumusele). Müüja tagab garantii kehtivuse ajal kõigi ilmnenud puuduste viivitamatu ja tasuta kõrvaldamise vastavalt valmistaja ja müüja garantiitingimustele.</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Müüja annab korralise hoolduse ja/või erakorralise hoolduse käigus paigaldatud varuosadele, lisaseadmetele, mehhanismidele garantii vähemalt 12 kuud. </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kohustub teostama lepingu eseme tehnohooldust vastavalt lepingu punktis 2.4, 2.5 toodule ja valmistajatehase poolt esitatud nõuetele.</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Müüjal on õigus saada üle antud lepingu eseme eest lepingus kokkulepitud tasu.</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Ostja õigused ja kohustused</w:t>
      </w:r>
    </w:p>
    <w:p>
      <w:pPr>
        <w:pStyle w:val="ListParagraph"/>
        <w:spacing w:before="0" w:after="0"/>
        <w:ind w:lef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Ostja on kohustatud tasuma müüja poolt vastavalt lepingule esitatud arved 14 (neljateistkümne) kalendripäeva jooksul arvates vastava arve saamisest. </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Ostja kohustub lepingu eseme vastu võtma müüja poolt vastavalt lepingu punktile 5.3 saadetud teates sätestatud kuupäeval.</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Ostjal on õigus nõuda müüjalt lepinguga sätestatud kohustuste täitmist ning pidada müüjale tasumisele kuuluvast summast kinni leppetrahv.</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Vastutus</w:t>
      </w:r>
    </w:p>
    <w:p>
      <w:pPr>
        <w:pStyle w:val="ListParagraph"/>
        <w:spacing w:before="0" w:after="0"/>
        <w:ind w:lef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Pooled kannavad teineteise eest täielikku varalist vastutust lepingu süülise mittetäitmisega või mittekohase täitmisega tekitatud otsese varalise kahju eest.</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Ostja poolt tasumisega viivitamisel on müüjal õigus ostjalt nõuda tähtaegselt tasumata summalt viivist 0,15 % iga viivitatud päeva eest.</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Müüja poolt lepingu eseme üleandmisega viivitamisel maksab müüja ostjale tähtaegselt üle andmata lepingu eseme hinnast leppetrahvi 0,15 % iga viivitatud päeva eest.</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Poolel on õigus lepingust taganeda, kui teine pool süüliselt viivitab lepingus ettenähtud kohustuse täitmisega 20 (kakskümmend) tööpäeva või enam või teise poole suhtes kuulutatakse välja pankrot, samuti muudel lepingus ja seaduses ettenähtud juhtudel.</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Lepingust taganemine ei vabasta müüjat temale lepingu tingimustega pandud garantiikohustuste täitmisest lepingust taganemiseni müüdud lepingu eseme suhtes ega ostjat käesoleva lepingu alusel üle antud lepingu eseme eest tasumisest.</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Kui lepingu ese on tunnistatud lepingule mittevastavaks määrab ostja müüjale mõistliku tähtaja avastatud puuduste kõrvaldamiseks.</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Ostjal on õigus lepingu tingimustele mittevastava lepingu eseme vastuvõtmisel alandada ostuhinda, v.a. juhul,</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 kui müüja parandas või asendas lepingu eseme lepingutingimustele vastavate kaupadega;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 kui ostja keeldus õigustamatult vastu võtmast müüja ettepanekut lepingu eseme parandamise või asendamise kohta.</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Kui müüja ei ole talle antud täiendava tähtaja jooksul parandanud või asendanud lepingu eset lepingutingimustele vastava kaubaga, võib ostja peale tähtaja möödumist kasutada ka muid õiguskaitsevahendeid.</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Vääramatu jõud</w:t>
      </w:r>
    </w:p>
    <w:p>
      <w:pPr>
        <w:pStyle w:val="ListParagraph"/>
        <w:spacing w:before="0" w:after="0"/>
        <w:ind w:lef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Lepinguliste kohustuste täitmata jätmist loetakse pooltele vabandatavaks ning selle eest ei rakendata sanktsioone ajal, mil täitmist takistab vääramatu jõud. Vääramatu jõu asjaolude esinemisest tuleb teist poolt viivitamatult informeerida, vastasel korral kaotab pool õiguse apelleerida vääramatule jõule. </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Vääramatuks jõuks on asjaolud, mida pool ei saanud mõjutada ja mõistlikkuse põhimõttest lähtudes ei saanud temalt oodata, et ta lepingu sõlmimise ajal selle asjaoluga arvestaks või seda väldiks või takistava asjaolu või selle tagajärje ületaks. </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Vääramatu jõu asjaolude esinemisel on pooled kohustatud rakendama kõiki võimalikke kohaseid meetmeid, et vähendada teisele poolele tekkivat kahju ja tagada võimaluste piires lepingu täitmine.</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Vääramatu jõu aluseks olevate asjaolude esinemisel kestusega rohkem kui 45 (nelikümmend  viis) päeva on kummalgi poolel õigus lepingust taganeda.</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Vaidluste lahendamine</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Kõik vaidlused ja lahkarvamused, mis tekivad seoses lepingu täitmise või tõlgendamisega lahendatakse pooltevaheliste läbirääkimiste teel. Kui kokkulepet ei saavutata, lahendatakse vaidlused Harju Maakohtus.</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Lepingu lisad</w:t>
      </w:r>
    </w:p>
    <w:p>
      <w:pPr>
        <w:pStyle w:val="ListParagraph"/>
        <w:numPr>
          <w:ilvl w:val="1"/>
          <w:numId w:val="1"/>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Tehniline kirjeldus.</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 xml:space="preserve">Poolte rekvisiidid: </w:t>
      </w:r>
    </w:p>
    <w:p>
      <w:pPr>
        <w:pStyle w:val="ListParagraph"/>
        <w:spacing w:before="0" w:after="0"/>
        <w:ind w:lef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spacing w:before="0" w:after="0"/>
        <w:ind w:left="0" w:hanging="0"/>
        <w:contextualSpacing/>
        <w:jc w:val="both"/>
        <w:rPr>
          <w:rFonts w:ascii="Times New Roman" w:hAnsi="Times New Roman" w:cs="Times New Roman"/>
          <w:b/>
          <w:b/>
          <w:sz w:val="24"/>
          <w:szCs w:val="24"/>
        </w:rPr>
      </w:pPr>
      <w:r>
        <w:rPr>
          <w:rFonts w:cs="Times New Roman" w:ascii="Times New Roman" w:hAnsi="Times New Roman"/>
          <w:b/>
          <w:sz w:val="24"/>
          <w:szCs w:val="24"/>
        </w:rPr>
        <w:t>Ostja                                                                        Müüja</w:t>
      </w:r>
    </w:p>
    <w:tbl>
      <w:tblPr>
        <w:tblStyle w:val="TableGrid"/>
        <w:tblW w:w="9062" w:type="dxa"/>
        <w:jc w:val="left"/>
        <w:tblInd w:w="0" w:type="dxa"/>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Riigimetsa Majandamise Keskus</w:t>
            </w:r>
          </w:p>
        </w:tc>
        <w:tc>
          <w:tcPr>
            <w:tcW w:w="4530"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 xml:space="preserve">Osaühing JMK Marine </w:t>
            </w:r>
          </w:p>
        </w:tc>
      </w:tr>
      <w:tr>
        <w:trPr/>
        <w:tc>
          <w:tcPr>
            <w:tcW w:w="4531"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Registrikood 70004459</w:t>
            </w:r>
          </w:p>
        </w:tc>
        <w:tc>
          <w:tcPr>
            <w:tcW w:w="4530"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Registrikood 10478211</w:t>
            </w:r>
          </w:p>
        </w:tc>
      </w:tr>
      <w:tr>
        <w:trPr/>
        <w:tc>
          <w:tcPr>
            <w:tcW w:w="4531"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Mõisa/3, Sagadi küla, Haljala vald,</w:t>
            </w:r>
          </w:p>
        </w:tc>
        <w:tc>
          <w:tcPr>
            <w:tcW w:w="4530"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Reinu tee 7a Viimsi vald 74011</w:t>
            </w:r>
          </w:p>
        </w:tc>
      </w:tr>
      <w:tr>
        <w:trPr/>
        <w:tc>
          <w:tcPr>
            <w:tcW w:w="4531"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45403 Lääne-Viru maakond</w:t>
            </w:r>
          </w:p>
        </w:tc>
        <w:tc>
          <w:tcPr>
            <w:tcW w:w="4530"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Tel +372 5183968</w:t>
            </w:r>
          </w:p>
        </w:tc>
      </w:tr>
      <w:tr>
        <w:trPr/>
        <w:tc>
          <w:tcPr>
            <w:tcW w:w="4531"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Tel 676 7500</w:t>
            </w:r>
          </w:p>
        </w:tc>
        <w:tc>
          <w:tcPr>
            <w:tcW w:w="4530"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E-post  jmkmarine@jmkmarine.ee</w:t>
            </w:r>
          </w:p>
        </w:tc>
      </w:tr>
      <w:tr>
        <w:trPr/>
        <w:tc>
          <w:tcPr>
            <w:tcW w:w="4531"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E-post rmk@rmk.ee</w:t>
            </w:r>
          </w:p>
        </w:tc>
        <w:tc>
          <w:tcPr>
            <w:tcW w:w="4530"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eastAsia="Times New Roman" w:cs="Times New Roman"/>
                <w:sz w:val="20"/>
                <w:szCs w:val="20"/>
                <w:lang w:eastAsia="et-EE"/>
              </w:rPr>
            </w:pPr>
            <w:r>
              <w:rPr>
                <w:rFonts w:eastAsia="Times New Roman" w:cs="Times New Roman" w:ascii="Times New Roman" w:hAnsi="Times New Roman"/>
                <w:sz w:val="20"/>
                <w:szCs w:val="20"/>
                <w:lang w:eastAsia="et-EE"/>
              </w:rPr>
            </w:r>
          </w:p>
        </w:tc>
      </w:tr>
      <w:tr>
        <w:trPr/>
        <w:tc>
          <w:tcPr>
            <w:tcW w:w="4531"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eastAsia="Times New Roman" w:cs="Times New Roman"/>
                <w:sz w:val="20"/>
                <w:szCs w:val="20"/>
                <w:lang w:eastAsia="et-EE"/>
              </w:rPr>
            </w:pPr>
            <w:r>
              <w:rPr>
                <w:rFonts w:eastAsia="Times New Roman" w:cs="Times New Roman" w:ascii="Times New Roman" w:hAnsi="Times New Roman"/>
                <w:sz w:val="20"/>
                <w:szCs w:val="20"/>
                <w:lang w:eastAsia="et-EE"/>
              </w:rPr>
            </w:r>
          </w:p>
        </w:tc>
        <w:tc>
          <w:tcPr>
            <w:tcW w:w="4530"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eastAsia="Times New Roman" w:cs="Times New Roman"/>
                <w:sz w:val="20"/>
                <w:szCs w:val="20"/>
                <w:lang w:eastAsia="et-EE"/>
              </w:rPr>
            </w:pPr>
            <w:r>
              <w:rPr>
                <w:rFonts w:eastAsia="Times New Roman" w:cs="Times New Roman" w:ascii="Times New Roman" w:hAnsi="Times New Roman"/>
                <w:sz w:val="20"/>
                <w:szCs w:val="20"/>
                <w:lang w:eastAsia="et-EE"/>
              </w:rPr>
            </w:r>
          </w:p>
        </w:tc>
      </w:tr>
      <w:tr>
        <w:trPr/>
        <w:tc>
          <w:tcPr>
            <w:tcW w:w="4531"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0"/>
                <w:szCs w:val="20"/>
                <w:lang w:eastAsia="et-EE"/>
              </w:rPr>
            </w:r>
            <w:sdt>
              <w:sdtPr>
                <w:dropDownList>
                  <w:listItem w:displayText=" " w:value=" "/>
                  <w:listItem w:displayText="(allkirjastatud digitaalselt)" w:value="(allkirjastatud digitaalselt)"/>
                </w:dropDownList>
              </w:sdtPr>
              <w:sdtContent>
                <w:r>
                  <w:t>(allkirjastatud digitaalselt)</w:t>
                </w:r>
              </w:sdtContent>
            </w:sdt>
          </w:p>
        </w:tc>
        <w:tc>
          <w:tcPr>
            <w:tcW w:w="4530"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0"/>
                <w:szCs w:val="20"/>
                <w:lang w:eastAsia="et-EE"/>
              </w:rPr>
            </w:r>
            <w:sdt>
              <w:sdtPr>
                <w:dropDownList>
                  <w:listItem w:displayText=" " w:value=" "/>
                  <w:listItem w:displayText="(allkirjastatud digitaalselt)" w:value="(allkirjastatud digitaalselt)"/>
                </w:dropDownList>
              </w:sdtPr>
              <w:sdtContent>
                <w:r>
                  <w:t>(allkirjastatud digitaalselt)</w:t>
                </w:r>
              </w:sdtContent>
            </w:sdt>
          </w:p>
        </w:tc>
      </w:tr>
      <w:tr>
        <w:trPr/>
        <w:tc>
          <w:tcPr>
            <w:tcW w:w="4531"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eastAsia="Times New Roman" w:cs="Times New Roman"/>
                <w:sz w:val="20"/>
                <w:szCs w:val="20"/>
                <w:lang w:eastAsia="et-EE"/>
              </w:rPr>
            </w:pPr>
            <w:r>
              <w:rPr>
                <w:rFonts w:eastAsia="Times New Roman" w:cs="Times New Roman" w:ascii="Times New Roman" w:hAnsi="Times New Roman"/>
                <w:sz w:val="20"/>
                <w:szCs w:val="20"/>
                <w:lang w:eastAsia="et-EE"/>
              </w:rPr>
            </w:r>
          </w:p>
        </w:tc>
        <w:tc>
          <w:tcPr>
            <w:tcW w:w="4530"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eastAsia="Times New Roman" w:cs="Times New Roman"/>
                <w:sz w:val="20"/>
                <w:szCs w:val="20"/>
                <w:lang w:eastAsia="et-EE"/>
              </w:rPr>
            </w:pPr>
            <w:r>
              <w:rPr>
                <w:rFonts w:eastAsia="Times New Roman" w:cs="Times New Roman" w:ascii="Times New Roman" w:hAnsi="Times New Roman"/>
                <w:sz w:val="20"/>
                <w:szCs w:val="20"/>
                <w:lang w:eastAsia="et-EE"/>
              </w:rPr>
            </w:r>
          </w:p>
        </w:tc>
      </w:tr>
      <w:tr>
        <w:trPr/>
        <w:tc>
          <w:tcPr>
            <w:tcW w:w="4531"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eastAsia="Times New Roman" w:cs="Times New Roman"/>
                <w:sz w:val="20"/>
                <w:szCs w:val="20"/>
                <w:lang w:eastAsia="et-EE"/>
              </w:rPr>
            </w:pPr>
            <w:r>
              <w:rPr>
                <w:rFonts w:eastAsia="Times New Roman" w:cs="Times New Roman" w:ascii="Times New Roman" w:hAnsi="Times New Roman"/>
                <w:sz w:val="20"/>
                <w:szCs w:val="20"/>
                <w:lang w:eastAsia="et-EE"/>
              </w:rPr>
            </w:r>
          </w:p>
        </w:tc>
        <w:tc>
          <w:tcPr>
            <w:tcW w:w="4530" w:type="dxa"/>
            <w:tcBorders>
              <w:top w:val="nil"/>
              <w:left w:val="nil"/>
              <w:bottom w:val="nil"/>
              <w:right w:val="nil"/>
              <w:insideH w:val="nil"/>
              <w:insideV w:val="nil"/>
            </w:tcBorders>
            <w:shd w:fill="auto" w:val="clear"/>
          </w:tcPr>
          <w:p>
            <w:pPr>
              <w:pStyle w:val="Normal"/>
              <w:spacing w:lineRule="auto" w:line="240" w:before="0" w:after="0"/>
              <w:rPr>
                <w:rFonts w:ascii="Times New Roman" w:hAnsi="Times New Roman" w:eastAsia="Times New Roman" w:cs="Times New Roman"/>
                <w:sz w:val="20"/>
                <w:szCs w:val="20"/>
                <w:lang w:eastAsia="et-EE"/>
              </w:rPr>
            </w:pPr>
            <w:r>
              <w:rPr>
                <w:rFonts w:eastAsia="Times New Roman" w:cs="Times New Roman" w:ascii="Times New Roman" w:hAnsi="Times New Roman"/>
                <w:sz w:val="20"/>
                <w:szCs w:val="20"/>
                <w:lang w:eastAsia="et-EE"/>
              </w:rPr>
            </w:r>
          </w:p>
        </w:tc>
      </w:tr>
      <w:tr>
        <w:trPr/>
        <w:tc>
          <w:tcPr>
            <w:tcW w:w="4531"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Jaanus Käärma</w:t>
            </w:r>
          </w:p>
        </w:tc>
        <w:tc>
          <w:tcPr>
            <w:tcW w:w="4530" w:type="dxa"/>
            <w:tcBorders>
              <w:top w:val="nil"/>
              <w:left w:val="nil"/>
              <w:bottom w:val="nil"/>
              <w:right w:val="nil"/>
              <w:insideH w:val="nil"/>
              <w:insideV w:val="nil"/>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lang w:eastAsia="et-EE"/>
              </w:rPr>
              <w:t>Kalle Kütt</w:t>
            </w:r>
          </w:p>
        </w:tc>
      </w:tr>
    </w:tbl>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pPr>
      <w:r>
        <w:rPr>
          <w:rFonts w:cs="Times New Roman" w:ascii="Times New Roman" w:hAnsi="Times New Roman"/>
          <w:sz w:val="24"/>
          <w:szCs w:val="24"/>
        </w:rPr>
        <w:tab/>
        <w:t xml:space="preserve">      </w:t>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Segoe UI">
    <w:charset w:val="ba"/>
    <w:family w:val="roman"/>
    <w:pitch w:val="variable"/>
  </w:font>
  <w:font w:name="Liberation Sans">
    <w:altName w:val="Arial"/>
    <w:charset w:val="ba"/>
    <w:family w:val="swiss"/>
    <w:pitch w:val="variable"/>
  </w:font>
  <w:font w:name="Times New Roman">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24184178"/>
    </w:sdtPr>
    <w:sdtContent>
      <w:p>
        <w:pPr>
          <w:pStyle w:val="Header"/>
          <w:jc w:val="center"/>
          <w:rPr/>
        </w:pPr>
        <w:r>
          <w:rPr/>
          <w:fldChar w:fldCharType="begin"/>
        </w:r>
        <w:r>
          <w:rPr/>
          <w:instrText> PAGE </w:instrText>
        </w:r>
        <w:r>
          <w:rPr/>
          <w:fldChar w:fldCharType="separate"/>
        </w:r>
        <w:r>
          <w:rPr/>
          <w:t>5</w:t>
        </w:r>
        <w:r>
          <w:rPr/>
          <w:fldChar w:fldCharType="end"/>
        </w:r>
        <w:r>
          <w:rPr/>
          <w:t xml:space="preserve">                                            </w:t>
        </w:r>
      </w:p>
    </w:sdtContent>
  </w:sdt>
  <w:p>
    <w:pPr>
      <w:pStyle w:val="Header"/>
      <w:jc w:val="center"/>
      <w:rPr/>
    </w:pPr>
    <w:r>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0"/>
      </w:pPr>
    </w:lvl>
    <w:lvl w:ilvl="1">
      <w:start w:val="1"/>
      <w:numFmt w:val="decimal"/>
      <w:lvlText w:val="%1.%2."/>
      <w:lvlJc w:val="left"/>
      <w:pPr>
        <w:ind w:left="0" w:hanging="0"/>
      </w:pPr>
    </w:lvl>
    <w:lvl w:ilvl="2">
      <w:start w:val="1"/>
      <w:numFmt w:val="decimal"/>
      <w:lvlText w:val="%1.%2.%3."/>
      <w:lvlJc w:val="left"/>
      <w:pPr>
        <w:ind w:left="0" w:hanging="0"/>
      </w:pPr>
    </w:lvl>
    <w:lvl w:ilvl="3">
      <w:start w:val="1"/>
      <w:numFmt w:val="decimal"/>
      <w:lvlText w:val="%1.%2.%3.%4."/>
      <w:lvlJc w:val="left"/>
      <w:pPr>
        <w:ind w:left="0" w:hanging="0"/>
      </w:pPr>
    </w:lvl>
    <w:lvl w:ilvl="4">
      <w:start w:val="1"/>
      <w:numFmt w:val="decimal"/>
      <w:lvlText w:val="%1.%2.%3.%4.%5."/>
      <w:lvlJc w:val="left"/>
      <w:pPr>
        <w:ind w:left="0" w:hanging="0"/>
      </w:pPr>
    </w:lvl>
    <w:lvl w:ilvl="5">
      <w:start w:val="1"/>
      <w:numFmt w:val="decimal"/>
      <w:lvlText w:val="%1.%2.%3.%4.%5.%6."/>
      <w:lvlJc w:val="left"/>
      <w:pPr>
        <w:ind w:left="0" w:hanging="0"/>
      </w:pPr>
    </w:lvl>
    <w:lvl w:ilvl="6">
      <w:start w:val="1"/>
      <w:numFmt w:val="decimal"/>
      <w:lvlText w:val="%1.%2.%3.%4.%5.%6.%7."/>
      <w:lvlJc w:val="left"/>
      <w:pPr>
        <w:ind w:left="0" w:hanging="0"/>
      </w:pPr>
    </w:lvl>
    <w:lvl w:ilvl="7">
      <w:start w:val="1"/>
      <w:numFmt w:val="decimal"/>
      <w:lvlText w:val="%1.%2.%3.%4.%5.%6.%7.%8."/>
      <w:lvlJc w:val="left"/>
      <w:pPr>
        <w:ind w:left="0" w:hanging="0"/>
      </w:pPr>
    </w:lvl>
    <w:lvl w:ilvl="8">
      <w:start w:val="1"/>
      <w:numFmt w:val="decimal"/>
      <w:lvlText w:val="%1.%2.%3.%4.%5.%6.%7.%8.%9."/>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80b77"/>
    <w:rPr/>
  </w:style>
  <w:style w:type="character" w:styleId="FooterChar" w:customStyle="1">
    <w:name w:val="Footer Char"/>
    <w:basedOn w:val="DefaultParagraphFont"/>
    <w:link w:val="Footer"/>
    <w:uiPriority w:val="99"/>
    <w:qFormat/>
    <w:rsid w:val="00e80b77"/>
    <w:rPr/>
  </w:style>
  <w:style w:type="character" w:styleId="Annotationreference">
    <w:name w:val="annotation reference"/>
    <w:basedOn w:val="DefaultParagraphFont"/>
    <w:uiPriority w:val="99"/>
    <w:semiHidden/>
    <w:unhideWhenUsed/>
    <w:qFormat/>
    <w:rsid w:val="005a16b1"/>
    <w:rPr>
      <w:sz w:val="16"/>
      <w:szCs w:val="16"/>
    </w:rPr>
  </w:style>
  <w:style w:type="character" w:styleId="CommentTextChar" w:customStyle="1">
    <w:name w:val="Comment Text Char"/>
    <w:basedOn w:val="DefaultParagraphFont"/>
    <w:link w:val="CommentText"/>
    <w:uiPriority w:val="99"/>
    <w:qFormat/>
    <w:rsid w:val="005a16b1"/>
    <w:rPr>
      <w:sz w:val="20"/>
      <w:szCs w:val="20"/>
    </w:rPr>
  </w:style>
  <w:style w:type="character" w:styleId="CommentSubjectChar" w:customStyle="1">
    <w:name w:val="Comment Subject Char"/>
    <w:basedOn w:val="CommentTextChar"/>
    <w:link w:val="CommentSubject"/>
    <w:uiPriority w:val="99"/>
    <w:semiHidden/>
    <w:qFormat/>
    <w:rsid w:val="005a16b1"/>
    <w:rPr>
      <w:b/>
      <w:bCs/>
      <w:sz w:val="20"/>
      <w:szCs w:val="20"/>
    </w:rPr>
  </w:style>
  <w:style w:type="character" w:styleId="BalloonTextChar" w:customStyle="1">
    <w:name w:val="Balloon Text Char"/>
    <w:basedOn w:val="DefaultParagraphFont"/>
    <w:link w:val="BalloonText"/>
    <w:uiPriority w:val="99"/>
    <w:semiHidden/>
    <w:qFormat/>
    <w:rsid w:val="006b14a5"/>
    <w:rPr>
      <w:rFonts w:ascii="Segoe UI" w:hAnsi="Segoe UI" w:cs="Segoe UI"/>
      <w:sz w:val="18"/>
      <w:szCs w:val="18"/>
    </w:rPr>
  </w:style>
  <w:style w:type="character" w:styleId="InternetLink">
    <w:name w:val="Internet Link"/>
    <w:basedOn w:val="DefaultParagraphFont"/>
    <w:uiPriority w:val="99"/>
    <w:unhideWhenUsed/>
    <w:rsid w:val="00e67508"/>
    <w:rPr>
      <w:color w:val="0000FF" w:themeColor="hyperlink"/>
      <w:u w:val="single"/>
    </w:rPr>
  </w:style>
  <w:style w:type="character" w:styleId="UnresolvedMention">
    <w:name w:val="Unresolved Mention"/>
    <w:basedOn w:val="DefaultParagraphFont"/>
    <w:uiPriority w:val="99"/>
    <w:semiHidden/>
    <w:unhideWhenUsed/>
    <w:qFormat/>
    <w:rsid w:val="00e67508"/>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e80b77"/>
    <w:pPr>
      <w:tabs>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e80b77"/>
    <w:pPr>
      <w:tabs>
        <w:tab w:val="center" w:pos="4536" w:leader="none"/>
        <w:tab w:val="right" w:pos="9072" w:leader="none"/>
      </w:tabs>
      <w:spacing w:lineRule="auto" w:line="240" w:before="0" w:after="0"/>
    </w:pPr>
    <w:rPr/>
  </w:style>
  <w:style w:type="paragraph" w:styleId="ListParagraph">
    <w:name w:val="List Paragraph"/>
    <w:basedOn w:val="Normal"/>
    <w:uiPriority w:val="34"/>
    <w:qFormat/>
    <w:rsid w:val="00e80b77"/>
    <w:pPr>
      <w:spacing w:before="0" w:after="200"/>
      <w:ind w:left="720" w:hanging="0"/>
      <w:contextualSpacing/>
    </w:pPr>
    <w:rPr/>
  </w:style>
  <w:style w:type="paragraph" w:styleId="Annotationtext">
    <w:name w:val="annotation text"/>
    <w:basedOn w:val="Normal"/>
    <w:link w:val="CommentTextChar"/>
    <w:uiPriority w:val="99"/>
    <w:unhideWhenUsed/>
    <w:qFormat/>
    <w:rsid w:val="005a16b1"/>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5a16b1"/>
    <w:pPr/>
    <w:rPr>
      <w:b/>
      <w:bCs/>
    </w:rPr>
  </w:style>
  <w:style w:type="paragraph" w:styleId="BalloonText">
    <w:name w:val="Balloon Text"/>
    <w:basedOn w:val="Normal"/>
    <w:link w:val="BalloonTextChar"/>
    <w:uiPriority w:val="99"/>
    <w:semiHidden/>
    <w:unhideWhenUsed/>
    <w:qFormat/>
    <w:rsid w:val="006b14a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0d4243"/>
    <w:pPr>
      <w:spacing w:after="0" w:line="240" w:lineRule="auto"/>
    </w:pPr>
    <w:rPr>
      <w:lang w:eastAsia="et-EE"/>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6687114214D3EADD09AD09F866FFA"/>
        <w:category>
          <w:name w:val="General"/>
          <w:gallery w:val="placeholder"/>
        </w:category>
        <w:types>
          <w:type w:val="bbPlcHdr"/>
        </w:types>
        <w:behaviors>
          <w:behavior w:val="content"/>
        </w:behaviors>
        <w:guid w:val="{81376B6B-BC5C-4255-AC99-272E70B8980B}"/>
      </w:docPartPr>
      <w:docPartBody>
        <w:p w:rsidR="002018D5" w:rsidRDefault="004237AA" w:rsidP="004237AA">
          <w:pPr>
            <w:pStyle w:val="8E86687114214D3EADD09AD09F866FFA"/>
          </w:pPr>
          <w:r w:rsidRPr="00BE118B">
            <w:rPr>
              <w:rStyle w:val="PlaceholderText"/>
            </w:rPr>
            <w:t>Choose an item.</w:t>
          </w:r>
        </w:p>
      </w:docPartBody>
    </w:docPart>
    <w:docPart>
      <w:docPartPr>
        <w:name w:val="188F97B866E643949AC94309300BF515"/>
        <w:category>
          <w:name w:val="General"/>
          <w:gallery w:val="placeholder"/>
        </w:category>
        <w:types>
          <w:type w:val="bbPlcHdr"/>
        </w:types>
        <w:behaviors>
          <w:behavior w:val="content"/>
        </w:behaviors>
        <w:guid w:val="{B5AD0A93-DD9E-4553-9E51-753D7CCDEF60}"/>
      </w:docPartPr>
      <w:docPartBody>
        <w:p w:rsidR="002018D5" w:rsidRDefault="004237AA" w:rsidP="004237AA">
          <w:pPr>
            <w:pStyle w:val="188F97B866E643949AC94309300BF515"/>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AA"/>
    <w:rsid w:val="00167C8A"/>
    <w:rsid w:val="00197842"/>
    <w:rsid w:val="002018D5"/>
    <w:rsid w:val="004237AA"/>
    <w:rsid w:val="008E7828"/>
    <w:rsid w:val="00A8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7AA"/>
    <w:rPr>
      <w:color w:val="808080"/>
    </w:rPr>
  </w:style>
  <w:style w:type="paragraph" w:customStyle="1" w:styleId="8E86687114214D3EADD09AD09F866FFA">
    <w:name w:val="8E86687114214D3EADD09AD09F866FFA"/>
    <w:rsid w:val="004237AA"/>
  </w:style>
  <w:style w:type="paragraph" w:customStyle="1" w:styleId="188F97B866E643949AC94309300BF515">
    <w:name w:val="188F97B866E643949AC94309300BF515"/>
    <w:rsid w:val="00423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FEF6-1BE1-4235-B5ED-ECB2C2F6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Application>LibreOffice/6.0.5.2$Windows_X86_64 LibreOffice_project/54c8cbb85f300ac59db32fe8a675ff7683cd5a16</Application>
  <Pages>5</Pages>
  <Words>1125</Words>
  <Characters>7800</Characters>
  <CharactersWithSpaces>9002</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2024-06-01T03:01:00Z</dcterms:created>
  <dc:creator>Katrin Ametmaa</dc:creator>
  <dc:description/>
  <dc:language>et-EE</dc:language>
  <cp:lastModifiedBy/>
  <dcterms:modified xsi:type="dcterms:W3CDTF">2024-06-07T09:03:15Z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